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22" w:rsidRDefault="009E256C">
      <w:pPr>
        <w:pStyle w:val="msonormalmrcssattr"/>
        <w:ind w:left="0" w:hanging="2"/>
        <w:jc w:val="both"/>
        <w:rPr>
          <w:u w:color="000000"/>
        </w:rPr>
      </w:pPr>
      <w:bookmarkStart w:id="0" w:name="_GoBack"/>
      <w:bookmarkEnd w:id="0"/>
      <w:r>
        <w:rPr>
          <w:b/>
          <w:u w:color="000000"/>
        </w:rPr>
        <w:t>Бал дебютантов</w:t>
      </w:r>
      <w:r>
        <w:rPr>
          <w:u w:color="000000"/>
        </w:rPr>
        <w:t xml:space="preserve"> — первый современный студенческий бал в Санкт-Петербурге. Впервые с успехом проведен в 2022 году, стал ежегодным. Проект направлен на культурное развитие и формирование семейных и морально-нравственных ценностей у молодежи Санкт-Петербурга через приобщение к участию в современных балах и танцевальном отдыхе. </w:t>
      </w:r>
    </w:p>
    <w:p w:rsidR="00261022" w:rsidRDefault="009E256C">
      <w:pPr>
        <w:pStyle w:val="msonormalmrcssattr"/>
        <w:ind w:left="0" w:hanging="2"/>
        <w:jc w:val="both"/>
        <w:rPr>
          <w:u w:color="000000"/>
        </w:rPr>
      </w:pPr>
      <w:r>
        <w:rPr>
          <w:u w:color="000000"/>
        </w:rPr>
        <w:t>Мероприятие направлено на сохранение и продолжение культурных традиций, патриотическое воспитание. Балы имели огромное значение для российской истории и культуры прошлых столетий. Особенно славилась балами столица – Петербург. Танцевальная культура России была на высоте. Бал дебютантов призван возродить танцевальные традиции и напомнить современной молодежи о высоких идеалах и ценностях, воспетых в культуре XVIII-ХIX веков.</w:t>
      </w:r>
    </w:p>
    <w:p w:rsidR="00261022" w:rsidRDefault="009E256C">
      <w:pPr>
        <w:pStyle w:val="msonormalmrcssattr"/>
        <w:ind w:left="0" w:hanging="2"/>
        <w:jc w:val="both"/>
        <w:rPr>
          <w:u w:color="000000"/>
        </w:rPr>
      </w:pPr>
      <w:r>
        <w:rPr>
          <w:u w:color="000000"/>
        </w:rPr>
        <w:t>При этом «Бал Дебютантов» – это не историческая реконструкция образов, а создание современной бальной культуры, опирающейся на традиции XX века. Красивая танцевальная музыка, непринужденные светские беседы и изящные силуэты танцоров, кружащиеся под звуки симфонического оркестра.</w:t>
      </w:r>
    </w:p>
    <w:p w:rsidR="00261022" w:rsidRDefault="009E256C">
      <w:pPr>
        <w:pStyle w:val="msonormalmrcssattr"/>
        <w:ind w:left="0" w:firstLine="0"/>
        <w:jc w:val="both"/>
        <w:rPr>
          <w:u w:color="000000"/>
        </w:rPr>
      </w:pPr>
      <w:r>
        <w:rPr>
          <w:b/>
          <w:u w:color="000000"/>
        </w:rPr>
        <w:t>Гранд Отель Европа</w:t>
      </w:r>
      <w:r>
        <w:rPr>
          <w:u w:color="000000"/>
        </w:rPr>
        <w:t xml:space="preserve">, открытый в 1875 году, – старейшая гостиница класса люкс в Санкт-Петербурге, расположенная в самом сердце города, на углу Невского проспекта и Михайловской улицы. За свою продолжительную историю отель принимал гостей со всего мира. Здесь император Николай II чествовал принца Сиама, ужинал П.И. Чайковский, давал концерт сэр Элтон Джон и пела Уитни Хьюстон. Здание отеля с пышным фасадом в стиле </w:t>
      </w:r>
      <w:proofErr w:type="spellStart"/>
      <w:r>
        <w:rPr>
          <w:u w:color="000000"/>
        </w:rPr>
        <w:t>нео</w:t>
      </w:r>
      <w:proofErr w:type="spellEnd"/>
      <w:r>
        <w:rPr>
          <w:u w:color="000000"/>
        </w:rPr>
        <w:t xml:space="preserve">-барокко, оформленное архитектором Людвигом Фонтана, является памятником архитектуры. Знаменитое витражное панно «Аполлон на колеснице», витражный потолок, изящная деревянная резьба в стиле модерн украшают ресторан «Европа», выполненный по проекту архитектора Карла </w:t>
      </w:r>
      <w:proofErr w:type="spellStart"/>
      <w:r>
        <w:rPr>
          <w:u w:color="000000"/>
        </w:rPr>
        <w:t>Маккензена</w:t>
      </w:r>
      <w:proofErr w:type="spellEnd"/>
      <w:r>
        <w:rPr>
          <w:u w:color="000000"/>
        </w:rPr>
        <w:t xml:space="preserve"> и открытый с 1905 года.</w:t>
      </w:r>
    </w:p>
    <w:p w:rsidR="00261022" w:rsidRDefault="009E256C">
      <w:pPr>
        <w:pStyle w:val="msonormalmrcssattr"/>
        <w:ind w:left="0" w:hanging="2"/>
        <w:jc w:val="both"/>
        <w:rPr>
          <w:u w:color="000000"/>
        </w:rPr>
      </w:pPr>
      <w:r>
        <w:rPr>
          <w:b/>
          <w:u w:color="000000"/>
        </w:rPr>
        <w:t xml:space="preserve">Российский этнографический музей </w:t>
      </w:r>
      <w:r>
        <w:rPr>
          <w:u w:color="000000"/>
        </w:rPr>
        <w:t>— один из крупнейших этнографических музеев Европы. Крупнейший в стране центр хранения и изучения памятников традиционной культуры более 157 народов, живущих в России и за её пределами. Музейная коллекция насчитывает более полумиллиона экспонатов. Это памятники материальной и духовной культуры, а также уникальные фотографии, запечатлевшие повседневную жизнь, праздники и обряды самых разных народов бывшей Российской империи в конце XIX — начале XX столетий — от оленеводов Арктической тундры до горцев Кавказа и кочевников Средней Азии. Постоянные экспозиции музея посвящены народам Европейской части России, Украины, Белоруссии, Прибалтики, Кавказа и Средней Азии. Многие памятники не имеют аналогов ни в одном другом музее мира.</w:t>
      </w:r>
    </w:p>
    <w:sectPr w:rsidR="00261022">
      <w:headerReference w:type="default" r:id="rId6"/>
      <w:pgSz w:w="11906" w:h="16838"/>
      <w:pgMar w:top="1135" w:right="1800" w:bottom="709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0E" w:rsidRDefault="009E256C">
      <w:r>
        <w:separator/>
      </w:r>
    </w:p>
  </w:endnote>
  <w:endnote w:type="continuationSeparator" w:id="0">
    <w:p w:rsidR="006A280E" w:rsidRDefault="009E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0E" w:rsidRDefault="009E256C">
      <w:r>
        <w:separator/>
      </w:r>
    </w:p>
  </w:footnote>
  <w:footnote w:type="continuationSeparator" w:id="0">
    <w:p w:rsidR="006A280E" w:rsidRDefault="009E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22" w:rsidRDefault="009E256C">
    <w:pPr>
      <w:pStyle w:val="a6"/>
      <w:jc w:val="center"/>
    </w:pPr>
    <w:r>
      <w:rPr>
        <w:noProof/>
      </w:rPr>
      <w:drawing>
        <wp:inline distT="0" distB="0" distL="0" distR="0">
          <wp:extent cx="3298063" cy="691007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298063" cy="691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2"/>
    <w:rsid w:val="00261022"/>
    <w:rsid w:val="006A280E"/>
    <w:rsid w:val="009E256C"/>
    <w:rsid w:val="00C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4C2D"/>
  <w15:docId w15:val="{11D0BB24-B464-4176-BE8A-31E64DB0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еразрешенное упоминание1"/>
    <w:link w:val="13"/>
    <w:rPr>
      <w:color w:val="605E5C"/>
      <w:shd w:val="clear" w:color="auto" w:fill="E1DFDD"/>
    </w:rPr>
  </w:style>
  <w:style w:type="character" w:customStyle="1" w:styleId="13">
    <w:name w:val="Неразрешенное упоминание1"/>
    <w:link w:val="12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бычный1"/>
    <w:link w:val="15"/>
    <w:rPr>
      <w:u w:color="000000"/>
    </w:rPr>
  </w:style>
  <w:style w:type="character" w:customStyle="1" w:styleId="15">
    <w:name w:val="Обычный1"/>
    <w:link w:val="14"/>
    <w:rPr>
      <w:color w:val="000000"/>
      <w:u w:color="000000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msonormalmrcssattr">
    <w:name w:val="msonormal_mr_css_attr"/>
    <w:basedOn w:val="a"/>
    <w:link w:val="msonormalmrcssattr0"/>
    <w:pPr>
      <w:spacing w:beforeAutospacing="1" w:afterAutospacing="1"/>
      <w:ind w:left="-1" w:hanging="1"/>
      <w:outlineLvl w:val="0"/>
    </w:pPr>
    <w:rPr>
      <w:rFonts w:ascii="Times New Roman" w:hAnsi="Times New Roman"/>
      <w:sz w:val="24"/>
    </w:rPr>
  </w:style>
  <w:style w:type="character" w:customStyle="1" w:styleId="msonormalmrcssattr0">
    <w:name w:val="msonormal_mr_css_attr"/>
    <w:basedOn w:val="1"/>
    <w:link w:val="msonormalmrcssattr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c">
    <w:link w:val="ad"/>
    <w:semiHidden/>
    <w:unhideWhenUsed/>
  </w:style>
  <w:style w:type="character" w:customStyle="1" w:styleId="ad">
    <w:link w:val="ac"/>
    <w:semiHidden/>
    <w:unhideWhenUsed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Шипилова</cp:lastModifiedBy>
  <cp:revision>3</cp:revision>
  <dcterms:created xsi:type="dcterms:W3CDTF">2023-06-15T07:56:00Z</dcterms:created>
  <dcterms:modified xsi:type="dcterms:W3CDTF">2023-06-15T07:58:00Z</dcterms:modified>
</cp:coreProperties>
</file>