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ТРЕБОВАНИЯ, ПРЕДЪЯВЛЯЕМЫЕ К РУКОПИСЯМ НАУЧНЫХ СТАТЕЙ, НАПРАВЛЯЕМЫХ В ЖУРНАЛ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«ВЕСТНИК ФАКУЛЬТЕТА УПРАВЛЕНИЯ СПБГЭУ»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Структура представляемых к публикации материалов.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Для предоставляемых в редакцию результатов самостоятельных теоретических и эмпирических исследований и тематических научных обзоров рекомендуемая структура построения материалов, следующая: </w:t>
      </w:r>
    </w:p>
    <w:p>
      <w:pPr>
        <w:pStyle w:val="ListParagraph"/>
        <w:numPr>
          <w:ilvl w:val="0"/>
          <w:numId w:val="2"/>
        </w:numPr>
        <w:spacing w:lineRule="auto" w:line="240" w:before="0" w:after="0"/>
        <w:ind w:left="709" w:hanging="360"/>
        <w:contextualSpacing/>
        <w:jc w:val="both"/>
        <w:rPr>
          <w:rFonts w:ascii="Times New Roman" w:hAnsi="Times New Roman" w:cs="Times New Roman"/>
          <w:sz w:val="24"/>
          <w:szCs w:val="24"/>
        </w:rPr>
      </w:pPr>
      <w:r>
        <w:rPr>
          <w:rFonts w:cs="Times New Roman" w:ascii="Times New Roman" w:hAnsi="Times New Roman"/>
          <w:i/>
          <w:sz w:val="24"/>
          <w:szCs w:val="24"/>
        </w:rPr>
        <w:t>Заглавие материалов.</w:t>
      </w:r>
      <w:r>
        <w:rPr>
          <w:rFonts w:cs="Times New Roman" w:ascii="Times New Roman" w:hAnsi="Times New Roman"/>
          <w:sz w:val="24"/>
          <w:szCs w:val="24"/>
        </w:rPr>
        <w:t xml:space="preserve"> Указание Фамилии, Имени, Отчества (полностью) автора и названия учебного заведения или научной организации, в которой выполнялась работа, специальности автора (на русском и английском языках).</w:t>
      </w:r>
    </w:p>
    <w:p>
      <w:pPr>
        <w:pStyle w:val="ListParagraph"/>
        <w:numPr>
          <w:ilvl w:val="0"/>
          <w:numId w:val="2"/>
        </w:numPr>
        <w:spacing w:lineRule="auto" w:line="240" w:before="0" w:after="0"/>
        <w:ind w:left="709" w:hanging="360"/>
        <w:contextualSpacing/>
        <w:jc w:val="both"/>
        <w:rPr>
          <w:rFonts w:ascii="Times New Roman" w:hAnsi="Times New Roman" w:cs="Times New Roman"/>
          <w:sz w:val="24"/>
          <w:szCs w:val="24"/>
        </w:rPr>
      </w:pPr>
      <w:r>
        <w:rPr>
          <w:rFonts w:cs="Times New Roman" w:ascii="Times New Roman" w:hAnsi="Times New Roman"/>
          <w:i/>
          <w:sz w:val="24"/>
          <w:szCs w:val="24"/>
        </w:rPr>
        <w:t>Аннотация.</w:t>
      </w:r>
      <w:r>
        <w:rPr>
          <w:rFonts w:cs="Times New Roman" w:ascii="Times New Roman" w:hAnsi="Times New Roman"/>
          <w:sz w:val="24"/>
          <w:szCs w:val="24"/>
        </w:rPr>
        <w:t xml:space="preserve"> Описывает цели и задачи проведенного исследования, а также возможности его практического применения, что помогает быстрее уловить суть проблемы. (5-10 предложений), (на русском и английском языках).</w:t>
      </w:r>
    </w:p>
    <w:p>
      <w:pPr>
        <w:pStyle w:val="ListParagraph"/>
        <w:numPr>
          <w:ilvl w:val="0"/>
          <w:numId w:val="2"/>
        </w:numPr>
        <w:spacing w:lineRule="auto" w:line="240" w:before="0" w:after="0"/>
        <w:ind w:left="709" w:hanging="360"/>
        <w:contextualSpacing/>
        <w:jc w:val="both"/>
        <w:rPr>
          <w:rFonts w:ascii="Times New Roman" w:hAnsi="Times New Roman" w:cs="Times New Roman"/>
          <w:sz w:val="24"/>
          <w:szCs w:val="24"/>
        </w:rPr>
      </w:pPr>
      <w:r>
        <w:rPr>
          <w:rFonts w:cs="Times New Roman" w:ascii="Times New Roman" w:hAnsi="Times New Roman"/>
          <w:i/>
          <w:sz w:val="24"/>
          <w:szCs w:val="24"/>
        </w:rPr>
        <w:t>Ключевые слова</w:t>
      </w:r>
      <w:r>
        <w:rPr>
          <w:rFonts w:cs="Times New Roman" w:ascii="Times New Roman" w:hAnsi="Times New Roman"/>
          <w:sz w:val="24"/>
          <w:szCs w:val="24"/>
        </w:rPr>
        <w:t xml:space="preserve"> (8-10 слов), (на русском и английском языках).</w:t>
      </w:r>
    </w:p>
    <w:p>
      <w:pPr>
        <w:pStyle w:val="ListParagraph"/>
        <w:numPr>
          <w:ilvl w:val="0"/>
          <w:numId w:val="2"/>
        </w:numPr>
        <w:spacing w:lineRule="auto" w:line="240" w:before="0" w:after="0"/>
        <w:ind w:left="709" w:hanging="360"/>
        <w:contextualSpacing/>
        <w:jc w:val="both"/>
        <w:rPr>
          <w:rFonts w:ascii="Times New Roman" w:hAnsi="Times New Roman" w:cs="Times New Roman"/>
          <w:sz w:val="24"/>
          <w:szCs w:val="24"/>
        </w:rPr>
      </w:pPr>
      <w:r>
        <w:rPr>
          <w:rFonts w:cs="Times New Roman" w:ascii="Times New Roman" w:hAnsi="Times New Roman"/>
          <w:i/>
          <w:sz w:val="24"/>
          <w:szCs w:val="24"/>
        </w:rPr>
        <w:t>Вводная часть, научная проблематика и новизна.</w:t>
      </w:r>
      <w:r>
        <w:rPr>
          <w:rFonts w:cs="Times New Roman" w:ascii="Times New Roman" w:hAnsi="Times New Roman"/>
          <w:sz w:val="24"/>
          <w:szCs w:val="24"/>
        </w:rPr>
        <w:t xml:space="preserve"> Значение исследуемых научных фактов в теории и практике. В чем новое решение научной задачи.</w:t>
      </w:r>
    </w:p>
    <w:p>
      <w:pPr>
        <w:pStyle w:val="ListParagraph"/>
        <w:numPr>
          <w:ilvl w:val="0"/>
          <w:numId w:val="2"/>
        </w:numPr>
        <w:spacing w:lineRule="auto" w:line="240" w:before="0" w:after="0"/>
        <w:ind w:left="709" w:hanging="360"/>
        <w:contextualSpacing/>
        <w:jc w:val="both"/>
        <w:rPr>
          <w:rFonts w:ascii="Times New Roman" w:hAnsi="Times New Roman" w:cs="Times New Roman"/>
          <w:sz w:val="24"/>
          <w:szCs w:val="24"/>
        </w:rPr>
      </w:pPr>
      <w:r>
        <w:rPr>
          <w:rFonts w:cs="Times New Roman" w:ascii="Times New Roman" w:hAnsi="Times New Roman"/>
          <w:i/>
          <w:sz w:val="24"/>
          <w:szCs w:val="24"/>
        </w:rPr>
        <w:t>Данные о методике исследования.</w:t>
      </w:r>
      <w:r>
        <w:rPr>
          <w:rFonts w:cs="Times New Roman" w:ascii="Times New Roman" w:hAnsi="Times New Roman"/>
          <w:sz w:val="24"/>
          <w:szCs w:val="24"/>
        </w:rPr>
        <w:t xml:space="preserve"> Собственное научное исследование, предыдущие исследования (по теме материалов), статистика и т.п. – использованные автором в предоставляемых материалах. Наличие рисунков, формул и таблиц допускается только в тех случаях, если описать процесс в текстовой форме невозможно. Если материалы теоретического характера, приводятся основные положения, мысли, которые будут в дальнейшем подвергнуты анализу. </w:t>
      </w:r>
    </w:p>
    <w:p>
      <w:pPr>
        <w:pStyle w:val="ListParagraph"/>
        <w:numPr>
          <w:ilvl w:val="0"/>
          <w:numId w:val="2"/>
        </w:numPr>
        <w:spacing w:lineRule="auto" w:line="240" w:before="0" w:after="0"/>
        <w:ind w:left="709" w:hanging="360"/>
        <w:contextualSpacing/>
        <w:jc w:val="both"/>
        <w:rPr>
          <w:rFonts w:ascii="Times New Roman" w:hAnsi="Times New Roman" w:cs="Times New Roman"/>
          <w:sz w:val="24"/>
          <w:szCs w:val="24"/>
        </w:rPr>
      </w:pPr>
      <w:r>
        <w:rPr>
          <w:rFonts w:cs="Times New Roman" w:ascii="Times New Roman" w:hAnsi="Times New Roman"/>
          <w:i/>
          <w:sz w:val="24"/>
          <w:szCs w:val="24"/>
        </w:rPr>
        <w:t>Экспериментальная часть, анализ, обобщение и разъяснение собственных данных или сравнение теорий.</w:t>
      </w:r>
      <w:r>
        <w:rPr>
          <w:rFonts w:cs="Times New Roman" w:ascii="Times New Roman" w:hAnsi="Times New Roman"/>
          <w:sz w:val="24"/>
          <w:szCs w:val="24"/>
        </w:rPr>
        <w:t xml:space="preserve"> По объему – занимает центральное место в ваших материалах.</w:t>
      </w:r>
    </w:p>
    <w:p>
      <w:pPr>
        <w:pStyle w:val="ListParagraph"/>
        <w:numPr>
          <w:ilvl w:val="0"/>
          <w:numId w:val="2"/>
        </w:numPr>
        <w:spacing w:lineRule="auto" w:line="240" w:before="0" w:after="0"/>
        <w:ind w:left="709" w:hanging="360"/>
        <w:contextualSpacing/>
        <w:jc w:val="both"/>
        <w:rPr>
          <w:rFonts w:ascii="Times New Roman" w:hAnsi="Times New Roman" w:cs="Times New Roman"/>
          <w:sz w:val="24"/>
          <w:szCs w:val="24"/>
        </w:rPr>
      </w:pPr>
      <w:r>
        <w:rPr>
          <w:rFonts w:cs="Times New Roman" w:ascii="Times New Roman" w:hAnsi="Times New Roman"/>
          <w:i/>
          <w:sz w:val="24"/>
          <w:szCs w:val="24"/>
        </w:rPr>
        <w:t>Выводы и рекомендации.</w:t>
      </w:r>
      <w:r>
        <w:rPr>
          <w:rFonts w:cs="Times New Roman" w:ascii="Times New Roman" w:hAnsi="Times New Roman"/>
          <w:sz w:val="24"/>
          <w:szCs w:val="24"/>
        </w:rPr>
        <w:t xml:space="preserve"> Материалы обязательно должны содержать в себе ответы на вопросы, поставленные вводной частью, демонстрировать конкретные выводы по решению научной проблемы.</w:t>
      </w:r>
    </w:p>
    <w:p>
      <w:pPr>
        <w:pStyle w:val="ListParagraph"/>
        <w:numPr>
          <w:ilvl w:val="0"/>
          <w:numId w:val="2"/>
        </w:numPr>
        <w:spacing w:lineRule="auto" w:line="240" w:before="0" w:after="0"/>
        <w:ind w:left="709" w:hanging="360"/>
        <w:contextualSpacing/>
        <w:jc w:val="both"/>
        <w:rPr>
          <w:rFonts w:ascii="Times New Roman" w:hAnsi="Times New Roman" w:cs="Times New Roman"/>
          <w:sz w:val="24"/>
          <w:szCs w:val="24"/>
        </w:rPr>
      </w:pPr>
      <w:r>
        <w:rPr>
          <w:rFonts w:cs="Times New Roman" w:ascii="Times New Roman" w:hAnsi="Times New Roman"/>
          <w:i/>
          <w:sz w:val="24"/>
          <w:szCs w:val="24"/>
        </w:rPr>
        <w:t>Литература.</w:t>
      </w:r>
      <w:r>
        <w:rPr>
          <w:rFonts w:cs="Times New Roman" w:ascii="Times New Roman" w:hAnsi="Times New Roman"/>
          <w:sz w:val="24"/>
          <w:szCs w:val="24"/>
        </w:rPr>
        <w:t xml:space="preserve"> Список литературы оформляется в соответствии с ГОСТ 7.0.7 –2021. В тексте ссылки нумеруются в квадратных скобках, номер указывает на источник в списке литературы. В материалах, рекомендуется использовать не более 10 литературных источников.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Правила оформления материалов.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У материалов не должно быть более 3 авторов.</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Объем материалов для журнала – от 20 000 до 40 000 знаков, шрифт Times New Roman, интервал 1.5, кегль 14, поля с каждой стороны листа по 2 см. Абзацный отступ: 1,25. Ориентация: книжная, без указания страниц, без переносов, без постраничных сносок.</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Заглавие материалов: по центру, без отступа, прописными буквами, слева перед заглавием.</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 тексте допускаются рисунки, таблицы, которые должны занимать не более 33% объема рукописи. Рисунки следует выполнять в формате *.jpg, *.bmp. Рисунки должны быть вставлены в текст и быть четкими, черно-белыми. Название и номера рисунков указываются под рисунками, названия и номера таблиц – над таблицами согласно требованиям.</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Формула, в виде одной строки – она набирается в текстовом редакторе – шрифтом Times New Roman или Symbol. В редакторе формул надлежит набирать только формулы более сложного вида – в «несколько этажей». Если длина формулы превышает 80 мм, её следует разделить на несколько строк. Перенос формул допускаются на знаках «плюс» и «минус», реже – на знаке «умножение». Эти знаки повторяются в начале и в конце переноса. Отсканированные версии формул и таблиц не допускаются.</w:t>
      </w:r>
    </w:p>
    <w:p>
      <w:pPr>
        <w:pStyle w:val="ListParagraph"/>
        <w:numPr>
          <w:ilvl w:val="0"/>
          <w:numId w:val="3"/>
        </w:numPr>
        <w:spacing w:lineRule="auto" w:line="240"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Список литературы оформляется в соответствии с ГОСТ 7.0.7 –2021.</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 тексте ссылки на литературу приводятся в квадратных скобках [5, с.16], где 5 – номер публикации в списке литературы, с.16 – страница, с которой взята цитата. При цитировании используют угловые кавычки «...»</w:t>
      </w:r>
      <w:r>
        <w:rPr>
          <w:rFonts w:cs="Times New Roman" w:ascii="Times New Roman" w:hAnsi="Times New Roman"/>
          <w:sz w:val="24"/>
          <w:szCs w:val="24"/>
          <w:lang w:val="en-US"/>
        </w:rPr>
        <w:t>.</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Ссылки на интернет-ресурсы приводятся в общем списке литературы по автору или заглавию публикации с обязательным указанием адреса сайта, где эта публикация размещена, и датой обращения к ресурсу.</w:t>
      </w:r>
    </w:p>
    <w:p>
      <w:pPr>
        <w:pStyle w:val="ListParagraph"/>
        <w:numPr>
          <w:ilvl w:val="0"/>
          <w:numId w:val="0"/>
        </w:numPr>
        <w:spacing w:lineRule="auto" w:line="240" w:before="0" w:after="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color w:val="C9211E"/>
        </w:rPr>
      </w:pPr>
      <w:r>
        <w:rPr>
          <w:rFonts w:cs="Times New Roman" w:ascii="Times New Roman" w:hAnsi="Times New Roman"/>
          <w:b/>
          <w:color w:val="C9211E"/>
          <w:sz w:val="24"/>
          <w:szCs w:val="24"/>
        </w:rPr>
        <w:t xml:space="preserve">ДРУГОЙ СПОСОБ ОФОРМЛЕНИЯ ИСПОЛЬЗУЕМОЙ ЛИТЕРАТУРЫ </w:t>
      </w:r>
    </w:p>
    <w:p>
      <w:pPr>
        <w:pStyle w:val="Normal"/>
        <w:spacing w:lineRule="auto" w:line="240" w:before="0" w:after="0"/>
        <w:jc w:val="center"/>
        <w:rPr>
          <w:color w:val="C9211E"/>
        </w:rPr>
      </w:pPr>
      <w:r>
        <w:rPr>
          <w:rFonts w:cs="Times New Roman" w:ascii="Times New Roman" w:hAnsi="Times New Roman"/>
          <w:b/>
          <w:color w:val="C9211E"/>
          <w:sz w:val="24"/>
          <w:szCs w:val="24"/>
        </w:rPr>
        <w:t>НЕ ДОПУСКАЕТСЯ.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spacing w:lineRule="auto" w:line="240" w:before="0" w:after="0"/>
        <w:ind w:left="720" w:right="283" w:hanging="36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Пример оформления материалов </w:t>
      </w:r>
    </w:p>
    <w:p>
      <w:pPr>
        <w:pStyle w:val="ListParagraph"/>
        <w:spacing w:lineRule="auto" w:line="240" w:before="0" w:after="0"/>
        <w:ind w:left="720" w:right="283" w:hanging="36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720" w:right="283" w:hanging="360"/>
        <w:contextualSpacing/>
        <w:jc w:val="both"/>
        <w:rPr>
          <w:color w:val="00A933"/>
          <w:sz w:val="24"/>
          <w:szCs w:val="24"/>
        </w:rPr>
      </w:pPr>
      <w:r>
        <w:rPr>
          <w:rFonts w:cs="Times New Roman" w:ascii="Times New Roman" w:hAnsi="Times New Roman"/>
          <w:b/>
          <w:color w:val="00A933"/>
          <w:sz w:val="24"/>
          <w:szCs w:val="24"/>
        </w:rPr>
        <w:t>ПРИМЕР ОФОРМЛЕНИЯ ПЕРВОЙ СТРАНИЦЫ</w:t>
      </w:r>
    </w:p>
    <w:p>
      <w:pPr>
        <w:pStyle w:val="Normal"/>
        <w:spacing w:lineRule="auto" w:line="240" w:before="0" w:after="0"/>
        <w:ind w:left="-567" w:right="284"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567" w:right="284" w:hanging="0"/>
        <w:jc w:val="both"/>
        <w:rPr>
          <w:b w:val="false"/>
          <w:b w:val="false"/>
          <w:bCs w:val="false"/>
          <w:sz w:val="24"/>
          <w:szCs w:val="24"/>
        </w:rPr>
      </w:pPr>
      <w:r>
        <w:rPr>
          <w:rFonts w:cs="Times New Roman" w:ascii="Times New Roman" w:hAnsi="Times New Roman"/>
          <w:b w:val="false"/>
          <w:bCs w:val="false"/>
          <w:sz w:val="24"/>
          <w:szCs w:val="24"/>
          <w:lang w:val="en-US"/>
        </w:rPr>
        <w:t>Научная статья</w:t>
      </w:r>
    </w:p>
    <w:p>
      <w:pPr>
        <w:pStyle w:val="Normal"/>
        <w:spacing w:lineRule="auto" w:line="240" w:before="0" w:after="0"/>
        <w:ind w:left="-567" w:right="284" w:hanging="0"/>
        <w:jc w:val="both"/>
        <w:rPr>
          <w:b w:val="false"/>
          <w:b w:val="false"/>
          <w:bCs w:val="false"/>
          <w:sz w:val="24"/>
          <w:szCs w:val="24"/>
        </w:rPr>
      </w:pPr>
      <w:r>
        <w:rPr>
          <w:rFonts w:cs="Times New Roman" w:ascii="Times New Roman" w:hAnsi="Times New Roman"/>
          <w:b w:val="false"/>
          <w:bCs w:val="false"/>
          <w:sz w:val="24"/>
          <w:szCs w:val="24"/>
          <w:lang w:val="en-US"/>
        </w:rPr>
        <w:t>УДК 633.15:631.521(470.61)</w:t>
      </w:r>
    </w:p>
    <w:p>
      <w:pPr>
        <w:pStyle w:val="Normal"/>
        <w:spacing w:lineRule="auto" w:line="240" w:before="0" w:after="0"/>
        <w:ind w:left="-567" w:right="284" w:hanging="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ind w:left="-567" w:right="284" w:hanging="0"/>
        <w:jc w:val="center"/>
        <w:rPr>
          <w:b/>
          <w:b/>
          <w:bCs/>
          <w:sz w:val="24"/>
          <w:szCs w:val="24"/>
        </w:rPr>
      </w:pPr>
      <w:r>
        <w:rPr>
          <w:rFonts w:cs="Times New Roman" w:ascii="Times New Roman" w:hAnsi="Times New Roman"/>
          <w:b/>
          <w:bCs/>
          <w:sz w:val="24"/>
          <w:szCs w:val="24"/>
          <w:lang w:val="en-US"/>
        </w:rPr>
        <w:t xml:space="preserve">Анализ сортовой структуры кукурузы, возделываемой </w:t>
      </w:r>
    </w:p>
    <w:p>
      <w:pPr>
        <w:pStyle w:val="Normal"/>
        <w:spacing w:lineRule="auto" w:line="240" w:before="0" w:after="0"/>
        <w:ind w:left="-567" w:right="284" w:hanging="0"/>
        <w:jc w:val="center"/>
        <w:rPr>
          <w:b/>
          <w:b/>
          <w:bCs/>
          <w:sz w:val="24"/>
          <w:szCs w:val="24"/>
        </w:rPr>
      </w:pPr>
      <w:r>
        <w:rPr>
          <w:rFonts w:cs="Times New Roman" w:ascii="Times New Roman" w:hAnsi="Times New Roman"/>
          <w:b/>
          <w:bCs/>
          <w:sz w:val="24"/>
          <w:szCs w:val="24"/>
          <w:lang w:val="en-US"/>
        </w:rPr>
        <w:t>на зерно в Ростовской области</w:t>
      </w:r>
    </w:p>
    <w:p>
      <w:pPr>
        <w:pStyle w:val="Normal"/>
        <w:spacing w:lineRule="auto" w:line="240" w:before="0" w:after="0"/>
        <w:ind w:left="-567" w:right="284" w:hanging="0"/>
        <w:jc w:val="center"/>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ind w:left="-567" w:right="284" w:hanging="0"/>
        <w:jc w:val="both"/>
        <w:rPr>
          <w:b/>
          <w:b/>
          <w:bCs/>
          <w:sz w:val="24"/>
          <w:szCs w:val="24"/>
        </w:rPr>
      </w:pPr>
      <w:r>
        <w:rPr>
          <w:rFonts w:cs="Times New Roman" w:ascii="Times New Roman" w:hAnsi="Times New Roman"/>
          <w:b/>
          <w:bCs/>
          <w:sz w:val="24"/>
          <w:szCs w:val="24"/>
          <w:lang w:val="en-US"/>
        </w:rPr>
        <w:t>Юлия Борисовна Арженовская</w:t>
      </w:r>
    </w:p>
    <w:p>
      <w:pPr>
        <w:pStyle w:val="Normal"/>
        <w:spacing w:lineRule="auto" w:line="240" w:before="0" w:after="0"/>
        <w:ind w:left="-567" w:right="284" w:hanging="0"/>
        <w:jc w:val="both"/>
        <w:rPr/>
      </w:pPr>
      <w:r>
        <w:rPr>
          <w:rFonts w:cs="Times New Roman" w:ascii="Times New Roman" w:hAnsi="Times New Roman"/>
          <w:b w:val="false"/>
          <w:bCs w:val="false"/>
          <w:sz w:val="24"/>
          <w:szCs w:val="24"/>
          <w:lang w:val="en-US"/>
        </w:rPr>
        <w:t>Аграрный научный центр «Донской», Ростовская область, Зерноград, Россия, vniizk30@mail.ru</w:t>
      </w:r>
    </w:p>
    <w:p>
      <w:pPr>
        <w:pStyle w:val="Normal"/>
        <w:spacing w:lineRule="auto" w:line="240" w:before="0" w:after="0"/>
        <w:ind w:left="-567" w:right="284" w:hanging="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ind w:left="-567" w:right="284" w:firstLine="709"/>
        <w:jc w:val="both"/>
        <w:rPr>
          <w:b w:val="false"/>
          <w:b w:val="false"/>
          <w:bCs w:val="false"/>
          <w:sz w:val="24"/>
          <w:szCs w:val="24"/>
        </w:rPr>
      </w:pPr>
      <w:r>
        <w:rPr>
          <w:rFonts w:cs="Times New Roman" w:ascii="Times New Roman" w:hAnsi="Times New Roman"/>
          <w:b/>
          <w:bCs/>
          <w:sz w:val="24"/>
          <w:szCs w:val="24"/>
          <w:lang w:val="en-US"/>
        </w:rPr>
        <w:t>Аннотация.</w:t>
      </w:r>
      <w:r>
        <w:rPr>
          <w:rFonts w:cs="Times New Roman" w:ascii="Times New Roman" w:hAnsi="Times New Roman"/>
          <w:b w:val="false"/>
          <w:bCs w:val="false"/>
          <w:sz w:val="24"/>
          <w:szCs w:val="24"/>
          <w:lang w:val="en-US"/>
        </w:rPr>
        <w:t xml:space="preserve"> В статье представлена динамика урожайности зерна кукурузы в России и в Ростовской области. Определено, что наибольшее количество гибридов кукурузы возделывалось в 2018 г. из числа внесенных в Госреестр РФ за период с 2009 по 2013 г. (52 шт.). Определены популярные гибриды кукурузы, возделываемые в Ростовской области в 2018 и 2019 гг. Рассчитан удельный вес отечественных гибридов (сортов) в посевных площадях и отмечено стоимостное преимущество отечественных семян кукурузы.</w:t>
      </w:r>
    </w:p>
    <w:p>
      <w:pPr>
        <w:pStyle w:val="Normal"/>
        <w:spacing w:lineRule="auto" w:line="240" w:before="0" w:after="0"/>
        <w:ind w:left="-567" w:right="284" w:firstLine="709"/>
        <w:jc w:val="both"/>
        <w:rPr>
          <w:b w:val="false"/>
          <w:b w:val="false"/>
          <w:bCs w:val="false"/>
          <w:sz w:val="24"/>
          <w:szCs w:val="24"/>
        </w:rPr>
      </w:pPr>
      <w:r>
        <w:rPr>
          <w:rFonts w:cs="Times New Roman" w:ascii="Times New Roman" w:hAnsi="Times New Roman"/>
          <w:b/>
          <w:bCs/>
          <w:sz w:val="24"/>
          <w:szCs w:val="24"/>
          <w:lang w:val="en-US"/>
        </w:rPr>
        <w:t>Ключевые слова:</w:t>
      </w:r>
      <w:r>
        <w:rPr>
          <w:rFonts w:cs="Times New Roman" w:ascii="Times New Roman" w:hAnsi="Times New Roman"/>
          <w:b w:val="false"/>
          <w:bCs w:val="false"/>
          <w:sz w:val="24"/>
          <w:szCs w:val="24"/>
          <w:lang w:val="en-US"/>
        </w:rPr>
        <w:t xml:space="preserve"> кукуруза, урожайность, сортосемена, сортовая структура</w:t>
      </w:r>
    </w:p>
    <w:p>
      <w:pPr>
        <w:pStyle w:val="Normal"/>
        <w:spacing w:lineRule="auto" w:line="240" w:before="0" w:after="0"/>
        <w:ind w:left="-567" w:right="284" w:firstLine="709"/>
        <w:jc w:val="both"/>
        <w:rPr>
          <w:b w:val="false"/>
          <w:b w:val="false"/>
          <w:bCs w:val="false"/>
          <w:sz w:val="24"/>
          <w:szCs w:val="24"/>
        </w:rPr>
      </w:pPr>
      <w:r>
        <w:rPr>
          <w:rFonts w:cs="Times New Roman" w:ascii="Times New Roman" w:hAnsi="Times New Roman"/>
          <w:b/>
          <w:bCs/>
          <w:sz w:val="24"/>
          <w:szCs w:val="24"/>
          <w:lang w:val="en-US"/>
        </w:rPr>
        <w:t>Для цитирования:</w:t>
      </w:r>
      <w:r>
        <w:rPr>
          <w:rFonts w:cs="Times New Roman" w:ascii="Times New Roman" w:hAnsi="Times New Roman"/>
          <w:b w:val="false"/>
          <w:bCs w:val="false"/>
          <w:sz w:val="24"/>
          <w:szCs w:val="24"/>
          <w:lang w:val="en-US"/>
        </w:rPr>
        <w:t xml:space="preserve"> Арженовская Ю. Б. Анализ сортовой культуры кукурузы, возделываемой на зерно в Ростовской области // Зерновое хозяйство России. 2020. No 2. С. 29–33.</w:t>
      </w:r>
    </w:p>
    <w:p>
      <w:pPr>
        <w:pStyle w:val="Normal"/>
        <w:spacing w:lineRule="auto" w:line="240" w:before="0" w:after="0"/>
        <w:ind w:left="-567" w:right="284" w:firstLine="709"/>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ind w:left="-567" w:right="284" w:hanging="0"/>
        <w:jc w:val="both"/>
        <w:rPr>
          <w:b w:val="false"/>
          <w:b w:val="false"/>
          <w:bCs w:val="false"/>
          <w:sz w:val="24"/>
          <w:szCs w:val="24"/>
        </w:rPr>
      </w:pPr>
      <w:r>
        <w:rPr>
          <w:rFonts w:cs="Times New Roman" w:ascii="Times New Roman" w:hAnsi="Times New Roman"/>
          <w:b w:val="false"/>
          <w:bCs w:val="false"/>
          <w:sz w:val="24"/>
          <w:szCs w:val="24"/>
          <w:lang w:val="en-US"/>
        </w:rPr>
        <w:t>Original article</w:t>
      </w:r>
    </w:p>
    <w:p>
      <w:pPr>
        <w:pStyle w:val="Normal"/>
        <w:spacing w:lineRule="auto" w:line="240" w:before="0" w:after="0"/>
        <w:ind w:left="-567" w:right="284" w:firstLine="709"/>
        <w:jc w:val="center"/>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ind w:left="-567" w:right="284" w:firstLine="709"/>
        <w:jc w:val="center"/>
        <w:rPr>
          <w:b/>
          <w:b/>
          <w:bCs/>
          <w:sz w:val="24"/>
          <w:szCs w:val="24"/>
        </w:rPr>
      </w:pPr>
      <w:r>
        <w:rPr>
          <w:rFonts w:cs="Times New Roman" w:ascii="Times New Roman" w:hAnsi="Times New Roman"/>
          <w:b/>
          <w:bCs/>
          <w:sz w:val="24"/>
          <w:szCs w:val="24"/>
          <w:lang w:val="en-US"/>
        </w:rPr>
        <w:t xml:space="preserve">The analysis of varietal structure of maize </w:t>
      </w:r>
    </w:p>
    <w:p>
      <w:pPr>
        <w:pStyle w:val="Normal"/>
        <w:spacing w:lineRule="auto" w:line="240" w:before="0" w:after="0"/>
        <w:ind w:left="-567" w:right="284" w:firstLine="709"/>
        <w:jc w:val="center"/>
        <w:rPr>
          <w:b/>
          <w:b/>
          <w:bCs/>
          <w:sz w:val="24"/>
          <w:szCs w:val="24"/>
        </w:rPr>
      </w:pPr>
      <w:r>
        <w:rPr>
          <w:rFonts w:cs="Times New Roman" w:ascii="Times New Roman" w:hAnsi="Times New Roman"/>
          <w:b/>
          <w:bCs/>
          <w:sz w:val="24"/>
          <w:szCs w:val="24"/>
          <w:lang w:val="en-US"/>
        </w:rPr>
        <w:t>cultivated for grain in the Rostov region</w:t>
      </w:r>
    </w:p>
    <w:p>
      <w:pPr>
        <w:pStyle w:val="Normal"/>
        <w:spacing w:lineRule="auto" w:line="240" w:before="0" w:after="0"/>
        <w:ind w:left="-567" w:right="284" w:hanging="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ind w:left="-567" w:right="284" w:hanging="0"/>
        <w:jc w:val="both"/>
        <w:rPr>
          <w:b/>
          <w:b/>
          <w:bCs/>
          <w:sz w:val="24"/>
          <w:szCs w:val="24"/>
        </w:rPr>
      </w:pPr>
      <w:r>
        <w:rPr>
          <w:rFonts w:cs="Times New Roman" w:ascii="Times New Roman" w:hAnsi="Times New Roman"/>
          <w:b/>
          <w:bCs/>
          <w:sz w:val="24"/>
          <w:szCs w:val="24"/>
          <w:lang w:val="en-US"/>
        </w:rPr>
        <w:t>Yulia B. Arzhenovskaya</w:t>
      </w:r>
    </w:p>
    <w:p>
      <w:pPr>
        <w:pStyle w:val="Normal"/>
        <w:spacing w:lineRule="auto" w:line="240" w:before="0" w:after="0"/>
        <w:ind w:left="-567" w:right="284" w:hanging="0"/>
        <w:jc w:val="both"/>
        <w:rPr/>
      </w:pPr>
      <w:r>
        <w:rPr>
          <w:rFonts w:cs="Times New Roman" w:ascii="Times New Roman" w:hAnsi="Times New Roman"/>
          <w:b w:val="false"/>
          <w:bCs w:val="false"/>
          <w:sz w:val="24"/>
          <w:szCs w:val="24"/>
          <w:lang w:val="en-US"/>
        </w:rPr>
        <w:t>Agricultural Research Center “Donskoy”, Rostov region, Zernograd, Russia, vniizk30@mail.ru</w:t>
      </w:r>
    </w:p>
    <w:p>
      <w:pPr>
        <w:pStyle w:val="Normal"/>
        <w:spacing w:lineRule="auto" w:line="240" w:before="0" w:after="0"/>
        <w:ind w:left="-567" w:right="284" w:hanging="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ind w:left="-567" w:right="284" w:firstLine="709"/>
        <w:jc w:val="both"/>
        <w:rPr>
          <w:b w:val="false"/>
          <w:b w:val="false"/>
          <w:bCs w:val="false"/>
          <w:sz w:val="24"/>
          <w:szCs w:val="24"/>
        </w:rPr>
      </w:pPr>
      <w:r>
        <w:rPr>
          <w:rFonts w:cs="Times New Roman" w:ascii="Times New Roman" w:hAnsi="Times New Roman"/>
          <w:b/>
          <w:bCs/>
          <w:sz w:val="24"/>
          <w:szCs w:val="24"/>
          <w:lang w:val="en-US"/>
        </w:rPr>
        <w:t xml:space="preserve">Abstract. </w:t>
      </w:r>
      <w:r>
        <w:rPr>
          <w:rFonts w:cs="Times New Roman" w:ascii="Times New Roman" w:hAnsi="Times New Roman"/>
          <w:b w:val="false"/>
          <w:bCs w:val="false"/>
          <w:sz w:val="24"/>
          <w:szCs w:val="24"/>
          <w:lang w:val="en-US"/>
        </w:rPr>
        <w:t>The current paper presentes the dynamics of the maize productivity in Russia and in the Rostov region. An analysis is given of sown maize hybrids and varieties in the Rostov region according to the year of including them into the State List of the Russian Federation. It is determined that the largest number of maize hybrids was cultivated in 2018 from the number included into the State List of the Russian Federation for the period from 2009 to 2013 (52 pcs.). The most popular maize hybrids cultivated in the Rostov region in 2018 and 2019 are identified. The share of domestic hybrids (varieties) in the sown areas and the cost advantage of domestic maize seeds are calculated.</w:t>
      </w:r>
    </w:p>
    <w:p>
      <w:pPr>
        <w:pStyle w:val="Normal"/>
        <w:spacing w:lineRule="auto" w:line="240" w:before="0" w:after="0"/>
        <w:ind w:left="-567" w:right="284" w:firstLine="709"/>
        <w:jc w:val="both"/>
        <w:rPr>
          <w:b w:val="false"/>
          <w:b w:val="false"/>
          <w:bCs w:val="false"/>
          <w:sz w:val="24"/>
          <w:szCs w:val="24"/>
        </w:rPr>
      </w:pPr>
      <w:r>
        <w:rPr>
          <w:rFonts w:cs="Times New Roman" w:ascii="Times New Roman" w:hAnsi="Times New Roman"/>
          <w:b/>
          <w:bCs/>
          <w:sz w:val="24"/>
          <w:szCs w:val="24"/>
          <w:lang w:val="en-US"/>
        </w:rPr>
        <w:t>Keywords:</w:t>
      </w:r>
      <w:r>
        <w:rPr>
          <w:rFonts w:cs="Times New Roman" w:ascii="Times New Roman" w:hAnsi="Times New Roman"/>
          <w:b w:val="false"/>
          <w:bCs w:val="false"/>
          <w:sz w:val="24"/>
          <w:szCs w:val="24"/>
          <w:lang w:val="en-US"/>
        </w:rPr>
        <w:t xml:space="preserve"> maize, productivity, variety changing, varietal structure</w:t>
      </w:r>
    </w:p>
    <w:p>
      <w:pPr>
        <w:pStyle w:val="Normal"/>
        <w:spacing w:lineRule="auto" w:line="240" w:before="0" w:after="0"/>
        <w:ind w:left="-567" w:right="284" w:firstLine="709"/>
        <w:jc w:val="both"/>
        <w:rPr>
          <w:b w:val="false"/>
          <w:b w:val="false"/>
          <w:bCs w:val="false"/>
          <w:sz w:val="24"/>
          <w:szCs w:val="24"/>
        </w:rPr>
      </w:pPr>
      <w:r>
        <w:rPr>
          <w:rFonts w:cs="Times New Roman" w:ascii="Times New Roman" w:hAnsi="Times New Roman"/>
          <w:b/>
          <w:bCs/>
          <w:sz w:val="24"/>
          <w:szCs w:val="24"/>
          <w:lang w:val="en-US"/>
        </w:rPr>
        <w:t>For citation:</w:t>
      </w:r>
      <w:r>
        <w:rPr>
          <w:rFonts w:cs="Times New Roman" w:ascii="Times New Roman" w:hAnsi="Times New Roman"/>
          <w:b w:val="false"/>
          <w:bCs w:val="false"/>
          <w:sz w:val="24"/>
          <w:szCs w:val="24"/>
          <w:lang w:val="en-US"/>
        </w:rPr>
        <w:t xml:space="preserve"> Arzhenovskaya Ju. B. The analysis of varietal structure of maize cultivated for grain in the Rostov region. Zernovoe khozyaistvo Rossii = Grain Farmimg in Russia. 2020;(2):29-33. (In Russ.).</w:t>
      </w:r>
    </w:p>
    <w:p>
      <w:pPr>
        <w:pStyle w:val="Normal"/>
        <w:spacing w:lineRule="auto" w:line="240" w:before="0" w:after="0"/>
        <w:ind w:left="-567" w:right="284" w:firstLine="709"/>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ind w:left="-567" w:right="284" w:firstLine="709"/>
        <w:jc w:val="both"/>
        <w:rPr>
          <w:b w:val="false"/>
          <w:b w:val="false"/>
          <w:bCs w:val="false"/>
          <w:sz w:val="24"/>
          <w:szCs w:val="24"/>
        </w:rPr>
      </w:pPr>
      <w:r>
        <w:rPr>
          <w:rFonts w:cs="Times New Roman" w:ascii="Times New Roman" w:hAnsi="Times New Roman"/>
          <w:b w:val="false"/>
          <w:bCs w:val="false"/>
          <w:sz w:val="24"/>
          <w:szCs w:val="24"/>
          <w:lang w:val="en-US"/>
        </w:rPr>
        <w:t>_______</w:t>
      </w:r>
    </w:p>
    <w:p>
      <w:pPr>
        <w:pStyle w:val="Normal"/>
        <w:spacing w:lineRule="auto" w:line="240" w:before="0" w:after="0"/>
        <w:ind w:left="-567" w:right="284" w:firstLine="709"/>
        <w:jc w:val="both"/>
        <w:rPr>
          <w:b w:val="false"/>
          <w:b w:val="false"/>
          <w:bCs w:val="false"/>
          <w:sz w:val="24"/>
          <w:szCs w:val="24"/>
        </w:rPr>
      </w:pPr>
      <w:r>
        <w:rPr>
          <w:rFonts w:cs="Times New Roman" w:ascii="Times New Roman" w:hAnsi="Times New Roman"/>
          <w:b w:val="false"/>
          <w:bCs w:val="false"/>
          <w:sz w:val="24"/>
          <w:szCs w:val="24"/>
          <w:lang w:val="en-US"/>
        </w:rPr>
        <w:t>© Арженовская Ю. Б., 2020</w:t>
      </w:r>
    </w:p>
    <w:p>
      <w:pPr>
        <w:pStyle w:val="Normal"/>
        <w:spacing w:lineRule="auto" w:line="240" w:before="0" w:after="0"/>
        <w:ind w:left="-567" w:right="284"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before="0" w:after="0"/>
        <w:ind w:left="-567" w:right="284"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before="0" w:after="0"/>
        <w:ind w:left="-567" w:right="284" w:firstLine="709"/>
        <w:jc w:val="center"/>
        <w:rPr>
          <w:b w:val="false"/>
          <w:b w:val="false"/>
          <w:bCs w:val="false"/>
        </w:rPr>
      </w:pPr>
      <w:r>
        <w:rPr>
          <w:rFonts w:cs="Times New Roman" w:ascii="Times New Roman" w:hAnsi="Times New Roman"/>
          <w:b w:val="false"/>
          <w:bCs w:val="false"/>
          <w:sz w:val="28"/>
          <w:szCs w:val="28"/>
          <w:lang w:val="en-US"/>
        </w:rPr>
        <w:t>ТЕКСТ СТАТЬИ</w:t>
      </w:r>
    </w:p>
    <w:p>
      <w:pPr>
        <w:pStyle w:val="ListParagraph"/>
        <w:spacing w:lineRule="auto" w:line="240" w:before="0" w:after="0"/>
        <w:ind w:left="720" w:right="283" w:hanging="360"/>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spacing w:lineRule="auto" w:line="240" w:before="0" w:after="0"/>
        <w:ind w:left="720" w:right="283" w:hanging="360"/>
        <w:contextualSpacing/>
        <w:jc w:val="both"/>
        <w:rPr>
          <w:rFonts w:ascii="Times New Roman" w:hAnsi="Times New Roman" w:cs="Times New Roman"/>
          <w:color w:val="00A933"/>
          <w:sz w:val="24"/>
          <w:szCs w:val="24"/>
          <w:lang w:val="en-US"/>
        </w:rPr>
      </w:pPr>
      <w:r>
        <w:rPr>
          <w:rFonts w:cs="Times New Roman" w:ascii="Times New Roman" w:hAnsi="Times New Roman"/>
          <w:b/>
          <w:color w:val="00A933"/>
          <w:sz w:val="24"/>
          <w:szCs w:val="24"/>
          <w:lang w:val="en-US"/>
        </w:rPr>
        <w:t>ПРИМЕР ОФОРМЛЕНИЯ ТЕКСТА СТАТЬИ</w:t>
      </w:r>
    </w:p>
    <w:p>
      <w:pPr>
        <w:pStyle w:val="Normal"/>
        <w:spacing w:lineRule="auto" w:line="240" w:before="0" w:after="0"/>
        <w:ind w:left="-567" w:right="283"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before="0" w:after="0"/>
        <w:ind w:left="-567" w:right="283" w:firstLine="709"/>
        <w:jc w:val="both"/>
        <w:rPr>
          <w:rFonts w:ascii="Times New Roman" w:hAnsi="Times New Roman" w:cs="Times New Roman"/>
          <w:sz w:val="28"/>
          <w:szCs w:val="28"/>
        </w:rPr>
      </w:pPr>
      <w:r>
        <w:rPr>
          <w:rFonts w:cs="Times New Roman" w:ascii="Times New Roman" w:hAnsi="Times New Roman"/>
          <w:sz w:val="28"/>
          <w:szCs w:val="28"/>
        </w:rPr>
        <w:t xml:space="preserve">Для бюджетов всех уровней это достаточно затратная сфера, отдача от которой ожидается в будущем. С точки зрения воспроизводственных процессов, когда в экономике в целом, благодаря вовлечению новых специалистов в процесс производства, создается мультипликативный эффект, для работодателей сфера образования является сферой вложения капитала с отдачей в виде прибыли. В связи с этим возникает необходимость рассмотреть вопросы управления факторами конкурентоспособности образовательных услуг на трех уровнях: потребительском, экономическом и организационном. Потребительский уровень – это уровень производства и потребления услуг образовательного учреждения, рассматриваемый с позиций конкурентоспособности национальной системы образования. Внедрение современных методик, привлечение финансовых, интеллектуальных и информационных ресурсов было направлено на повышение конкурентоспособности услуг образовательных учреждений через интеграцию вуза и работодателей с целью обеспечения подготовки компетентных кадров, создания условий, основных и вспомогательных процессов, работающих на результат [2. С. 93]. Бенчмаркинг – это процесс постоянного исследования наилучших практик, которые определяют наиболее высокую характеристику конкурентоспособности [3. С. 17]. Обеспечить успех в конкурентной борьбе на рынке качественных образовательных услуг в соответствии с критериями законодательства и требованиями рынка может только создание и освоение эффективной системы управления конкурентными преимуществами образовательных учреждений. </w:t>
      </w:r>
    </w:p>
    <w:p>
      <w:pPr>
        <w:pStyle w:val="Normal"/>
        <w:spacing w:lineRule="auto" w:line="360" w:before="0" w:after="0"/>
        <w:ind w:left="-567" w:right="2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567" w:right="2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567" w:right="2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567" w:right="2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567" w:right="28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567" w:right="283"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720" w:right="283" w:hanging="360"/>
        <w:contextualSpacing/>
        <w:jc w:val="both"/>
        <w:rPr>
          <w:rFonts w:ascii="Times New Roman" w:hAnsi="Times New Roman" w:cs="Times New Roman"/>
          <w:color w:val="00A933"/>
          <w:sz w:val="24"/>
          <w:szCs w:val="24"/>
          <w:lang w:val="en-US"/>
        </w:rPr>
      </w:pPr>
      <w:r>
        <w:rPr>
          <w:rFonts w:cs="Times New Roman" w:ascii="Times New Roman" w:hAnsi="Times New Roman"/>
          <w:b/>
          <w:color w:val="00A933"/>
          <w:sz w:val="28"/>
          <w:szCs w:val="28"/>
          <w:lang w:val="en-US"/>
        </w:rPr>
        <w:t>ПРИМЕР ОФОРМЛЕНИЯ СПИСКА ИСТОЧНИКОВ</w:t>
      </w:r>
    </w:p>
    <w:p>
      <w:pPr>
        <w:pStyle w:val="ListParagraph"/>
        <w:spacing w:lineRule="auto" w:line="240" w:before="0" w:after="0"/>
        <w:ind w:left="720" w:right="283" w:hanging="360"/>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before="0" w:after="0"/>
        <w:ind w:left="-567" w:right="283" w:firstLine="709"/>
        <w:jc w:val="center"/>
        <w:rPr>
          <w:b/>
          <w:b/>
          <w:bCs/>
          <w:sz w:val="24"/>
          <w:szCs w:val="24"/>
        </w:rPr>
      </w:pPr>
      <w:r>
        <w:rPr>
          <w:rFonts w:cs="Times New Roman" w:ascii="Times New Roman" w:hAnsi="Times New Roman"/>
          <w:b/>
          <w:bCs/>
          <w:sz w:val="24"/>
          <w:szCs w:val="24"/>
        </w:rPr>
        <w:t>Список источников</w:t>
      </w:r>
    </w:p>
    <w:p>
      <w:pPr>
        <w:pStyle w:val="Normal"/>
        <w:spacing w:lineRule="auto" w:line="240" w:before="0" w:after="0"/>
        <w:ind w:left="-567" w:right="283" w:firstLine="709"/>
        <w:jc w:val="center"/>
        <w:rPr>
          <w:rFonts w:ascii="Times New Roman" w:hAnsi="Times New Roman" w:cs="Times New Roman"/>
        </w:rPr>
      </w:pPr>
      <w:r>
        <w:rPr>
          <w:rFonts w:cs="Times New Roman" w:ascii="Times New Roman" w:hAnsi="Times New Roman"/>
        </w:rPr>
      </w:r>
    </w:p>
    <w:p>
      <w:pPr>
        <w:pStyle w:val="Normal"/>
        <w:spacing w:lineRule="auto" w:line="240" w:before="0" w:after="0"/>
        <w:ind w:left="-567" w:right="283" w:firstLine="709"/>
        <w:jc w:val="both"/>
        <w:rPr>
          <w:sz w:val="24"/>
          <w:szCs w:val="24"/>
        </w:rPr>
      </w:pPr>
      <w:r>
        <w:rPr>
          <w:rFonts w:cs="Times New Roman" w:ascii="Times New Roman" w:hAnsi="Times New Roman"/>
          <w:sz w:val="24"/>
          <w:szCs w:val="24"/>
        </w:rPr>
        <w:t>1. Сорокин Д. Е., Сухарев О. С. Структурно-инвестиционные задачи развития экономики России // Экономика. Налоги. Право. 2013. No 3. С. 4–15.</w:t>
      </w:r>
    </w:p>
    <w:p>
      <w:pPr>
        <w:pStyle w:val="Normal"/>
        <w:spacing w:lineRule="auto" w:line="240" w:before="0" w:after="0"/>
        <w:ind w:left="-567" w:right="283" w:firstLine="709"/>
        <w:jc w:val="both"/>
        <w:rPr>
          <w:sz w:val="24"/>
          <w:szCs w:val="24"/>
        </w:rPr>
      </w:pPr>
      <w:r>
        <w:rPr>
          <w:rFonts w:cs="Times New Roman" w:ascii="Times New Roman" w:hAnsi="Times New Roman"/>
          <w:sz w:val="24"/>
          <w:szCs w:val="24"/>
        </w:rPr>
        <w:t>2. Tietje C., Baetens F. The impact of investor-state-dispute settlement (ISDS) in the Transatlantic trade and investment partnership : study prepared for the Minister for Foreign Trade and Development Cooperation, Ministry of Foreign Affairs, The Netherlands. 2014. URL: https://ecipe.org/wp-content/uploads/2015/02/the-impact-of-investor-state-dispute-settlement-isds-in-the-ttip.pdf.</w:t>
      </w:r>
    </w:p>
    <w:p>
      <w:pPr>
        <w:pStyle w:val="Normal"/>
        <w:spacing w:lineRule="auto" w:line="240" w:before="0" w:after="0"/>
        <w:ind w:left="-567" w:right="283" w:firstLine="709"/>
        <w:jc w:val="both"/>
        <w:rPr/>
      </w:pPr>
      <w:r>
        <w:rPr>
          <w:rFonts w:cs="Times New Roman" w:ascii="Times New Roman" w:hAnsi="Times New Roman"/>
          <w:sz w:val="24"/>
          <w:szCs w:val="24"/>
        </w:rPr>
        <w:t>3. Candela R., Geloso V. Coase and transaction costs reconsidered : The case of the English lighthouse system // European Journal of Law and Economics. 2019. Vol. 48, no. 3. P. 331–349. https://doi.org/10.1007/s10657-019-09635-4.</w:t>
      </w:r>
    </w:p>
    <w:p>
      <w:pPr>
        <w:pStyle w:val="Normal"/>
        <w:spacing w:lineRule="auto" w:line="240" w:before="0" w:after="0"/>
        <w:ind w:left="-567" w:right="283" w:firstLine="709"/>
        <w:jc w:val="both"/>
        <w:rPr>
          <w:sz w:val="24"/>
          <w:szCs w:val="24"/>
        </w:rPr>
      </w:pPr>
      <w:r>
        <w:rPr/>
      </w:r>
    </w:p>
    <w:p>
      <w:pPr>
        <w:pStyle w:val="Normal"/>
        <w:spacing w:lineRule="auto" w:line="240" w:before="0" w:after="0"/>
        <w:ind w:left="-567" w:right="283" w:firstLine="709"/>
        <w:jc w:val="center"/>
        <w:rPr>
          <w:rFonts w:ascii="Times New Roman" w:hAnsi="Times New Roman" w:cs="Times New Roman"/>
        </w:rPr>
      </w:pPr>
      <w:r>
        <w:rPr>
          <w:rFonts w:cs="Times New Roman" w:ascii="Times New Roman" w:hAnsi="Times New Roman"/>
        </w:rPr>
      </w:r>
    </w:p>
    <w:p>
      <w:pPr>
        <w:pStyle w:val="Normal"/>
        <w:spacing w:lineRule="auto" w:line="240" w:before="0" w:after="0"/>
        <w:ind w:left="-567" w:right="283" w:firstLine="709"/>
        <w:jc w:val="center"/>
        <w:rPr>
          <w:b/>
          <w:b/>
          <w:bCs/>
          <w:sz w:val="24"/>
          <w:szCs w:val="24"/>
        </w:rPr>
      </w:pPr>
      <w:r>
        <w:rPr>
          <w:rFonts w:cs="Times New Roman" w:ascii="Times New Roman" w:hAnsi="Times New Roman"/>
          <w:b/>
          <w:bCs/>
          <w:sz w:val="24"/>
          <w:szCs w:val="24"/>
        </w:rPr>
        <w:t>References</w:t>
      </w:r>
    </w:p>
    <w:p>
      <w:pPr>
        <w:pStyle w:val="Normal"/>
        <w:spacing w:lineRule="auto" w:line="240" w:before="0" w:after="0"/>
        <w:ind w:left="-567" w:right="283" w:firstLine="709"/>
        <w:jc w:val="center"/>
        <w:rPr>
          <w:rFonts w:ascii="Times New Roman" w:hAnsi="Times New Roman" w:cs="Times New Roman"/>
        </w:rPr>
      </w:pPr>
      <w:r>
        <w:rPr>
          <w:rFonts w:cs="Times New Roman" w:ascii="Times New Roman" w:hAnsi="Times New Roman"/>
        </w:rPr>
      </w:r>
    </w:p>
    <w:p>
      <w:pPr>
        <w:pStyle w:val="Normal"/>
        <w:spacing w:lineRule="auto" w:line="240" w:before="0" w:after="0"/>
        <w:ind w:left="-567" w:right="283" w:firstLine="709"/>
        <w:jc w:val="both"/>
        <w:rPr>
          <w:sz w:val="24"/>
          <w:szCs w:val="24"/>
        </w:rPr>
      </w:pPr>
      <w:r>
        <w:rPr>
          <w:rFonts w:cs="Times New Roman" w:ascii="Times New Roman" w:hAnsi="Times New Roman"/>
          <w:sz w:val="24"/>
          <w:szCs w:val="24"/>
        </w:rPr>
        <w:t>1. Sorokin D. E., Sukharev O. S. Structural and investment objectives of the development of the Russian economy. Ekonomika. Nalogi. Pravo = Economics. Taxes. Law. 2013;(3):4-15. (In Russ.).</w:t>
      </w:r>
    </w:p>
    <w:p>
      <w:pPr>
        <w:pStyle w:val="Normal"/>
        <w:spacing w:lineRule="auto" w:line="240" w:before="0" w:after="0"/>
        <w:ind w:left="-567" w:right="283" w:firstLine="709"/>
        <w:jc w:val="both"/>
        <w:rPr>
          <w:sz w:val="24"/>
          <w:szCs w:val="24"/>
        </w:rPr>
      </w:pPr>
      <w:r>
        <w:rPr>
          <w:rFonts w:cs="Times New Roman" w:ascii="Times New Roman" w:hAnsi="Times New Roman"/>
          <w:sz w:val="24"/>
          <w:szCs w:val="24"/>
        </w:rPr>
        <w:t>2. Tietje C., Baetens F. The impact of investor-state-dispute settlement (ISDS) in the Transatlantic trade and investment partnership: Study prepared for the Minister for Foreign Trade and Development Cooperation, Ministry of Foreign Affairs, The Netherlands. 2014. URL: https://ecipe.org/wp-content/uploads/2015/02/the-impact-of-investor-state-dispute-settlement-isds-in-the-ttip.pdf.</w:t>
      </w:r>
    </w:p>
    <w:p>
      <w:pPr>
        <w:pStyle w:val="Normal"/>
        <w:spacing w:lineRule="auto" w:line="240" w:before="0" w:after="0"/>
        <w:ind w:left="-567" w:right="283" w:firstLine="709"/>
        <w:jc w:val="both"/>
        <w:rPr>
          <w:sz w:val="24"/>
          <w:szCs w:val="24"/>
        </w:rPr>
      </w:pPr>
      <w:r>
        <w:rPr>
          <w:rFonts w:cs="Times New Roman" w:ascii="Times New Roman" w:hAnsi="Times New Roman"/>
          <w:sz w:val="24"/>
          <w:szCs w:val="24"/>
        </w:rPr>
        <w:t>3. Candela R., Geloso V. Coase and transaction costs reconsidered: The case of the English lighthouse system. European Journal of Law and Economics. 2019;48(3):331-349. https://doi.org/10.1007/s10657-019-09635-4.</w:t>
      </w:r>
    </w:p>
    <w:p>
      <w:pPr>
        <w:pStyle w:val="Normal"/>
        <w:spacing w:lineRule="auto" w:line="240" w:before="0" w:after="0"/>
        <w:ind w:left="-567" w:right="283" w:firstLine="709"/>
        <w:jc w:val="both"/>
        <w:rPr>
          <w:sz w:val="24"/>
          <w:szCs w:val="24"/>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Arial" w:hAnsi="Arial" w:eastAsia="Tahoma"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lang w:val="zxx" w:eastAsia="zxx" w:bidi="zxx"/>
    </w:rPr>
  </w:style>
  <w:style w:type="paragraph" w:styleId="ListParagraph">
    <w:name w:val="List Paragraph"/>
    <w:basedOn w:val="Normal"/>
    <w:uiPriority w:val="34"/>
    <w:qFormat/>
    <w:rsid w:val="00d30450"/>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LibreOffice/7.3.7.2$Linux_X86_64 LibreOffice_project/30$Build-2</Application>
  <AppVersion>15.0000</AppVersion>
  <Pages>5</Pages>
  <Words>1202</Words>
  <Characters>8007</Characters>
  <CharactersWithSpaces>9151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2023-01-30T07:57:00Z</dcterms:created>
  <dc:creator>Александр Сергеевич Погорельцев</dc:creator>
  <dc:description/>
  <dc:language>ru-RU</dc:language>
  <cp:lastModifiedBy/>
  <dcterms:modified xsi:type="dcterms:W3CDTF">2023-09-06T13:32:10Z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