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055" w:rsidRDefault="003D5AA2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B17055" w:rsidRDefault="003D5AA2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Ученого совета Санкт-</w:t>
      </w:r>
    </w:p>
    <w:p w:rsidR="00B17055" w:rsidRDefault="003D5AA2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Петербургского государственного</w:t>
      </w:r>
    </w:p>
    <w:p w:rsidR="00B17055" w:rsidRDefault="003D5AA2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экономического университета</w:t>
      </w:r>
    </w:p>
    <w:p w:rsidR="00B17055" w:rsidRDefault="00B1705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17055" w:rsidRDefault="003D5AA2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____ от «</w:t>
      </w:r>
      <w:r>
        <w:rPr>
          <w:rFonts w:ascii="Times New Roman" w:hAnsi="Times New Roman" w:cs="Times New Roman"/>
          <w:sz w:val="24"/>
          <w:szCs w:val="24"/>
        </w:rPr>
        <w:t>____» ____________ 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7055" w:rsidRDefault="00B1705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17055" w:rsidRDefault="00B1705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17055" w:rsidRDefault="003D5AA2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 об организации системы внутреннего обеспечения соответствия деятельности ФГБОУ ВО </w:t>
      </w:r>
      <w:r>
        <w:rPr>
          <w:rFonts w:ascii="Times New Roman" w:hAnsi="Times New Roman" w:cs="Times New Roman"/>
          <w:b/>
          <w:sz w:val="24"/>
          <w:szCs w:val="24"/>
        </w:rPr>
        <w:t>«Санкт-Петербургский государственный экономический университет» требованиям антимонопольного законодательства в 2025 году</w:t>
      </w:r>
    </w:p>
    <w:p w:rsidR="00B17055" w:rsidRDefault="00B170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Указа Президента Российской Федерации от 21 декабря 2017 г. № 618 «Об основных направлениях государственной политики по</w:t>
      </w:r>
      <w:r>
        <w:rPr>
          <w:rFonts w:ascii="Times New Roman" w:hAnsi="Times New Roman" w:cs="Times New Roman"/>
          <w:sz w:val="24"/>
          <w:szCs w:val="24"/>
        </w:rPr>
        <w:t xml:space="preserve"> развитию конкуренции», руководствуясь рекомендациями, утвержденными распоряжением Правительства РФ от 18.10.2018 г № 2258-р «Об утверждении методических рекомендаций по созданию и организации федеральными органами исполнительной власти системы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соответствия требованиям антимонопольного законодательства» и приказом Минобрнауки России от 14.12.2020 г. № 1526 «Об организации системы внутреннего обеспечения соответствия требованиям антимонопольного законодательства в Министерстве науки и</w:t>
      </w:r>
      <w:r>
        <w:rPr>
          <w:rFonts w:ascii="Times New Roman" w:hAnsi="Times New Roman" w:cs="Times New Roman"/>
          <w:sz w:val="24"/>
          <w:szCs w:val="24"/>
        </w:rPr>
        <w:t xml:space="preserve"> высшего образования РФ», в ФГБОУ ВО «Санкт-Петербургский государственный экономический университет» (далее – СПбГЭУ, Университет) организована система внутреннего обеспечения соответствия требованиям антимонопольного законодательства (антимонопольный комп</w:t>
      </w:r>
      <w:r>
        <w:rPr>
          <w:rFonts w:ascii="Times New Roman" w:hAnsi="Times New Roman" w:cs="Times New Roman"/>
          <w:sz w:val="24"/>
          <w:szCs w:val="24"/>
        </w:rPr>
        <w:t xml:space="preserve">лаенс) в соответствии с приказом от 30.03.2021 г. № 169/1 «Об </w:t>
      </w:r>
      <w:bookmarkStart w:id="0" w:name="_Hlk92898838"/>
      <w:r>
        <w:rPr>
          <w:rFonts w:ascii="Times New Roman" w:hAnsi="Times New Roman" w:cs="Times New Roman"/>
          <w:sz w:val="24"/>
          <w:szCs w:val="24"/>
        </w:rPr>
        <w:t>организации системы внутреннего обеспечения соответствия требованиям антимонопольного законодательства</w:t>
      </w:r>
      <w:bookmarkEnd w:id="0"/>
      <w:r>
        <w:rPr>
          <w:rFonts w:ascii="Times New Roman" w:hAnsi="Times New Roman" w:cs="Times New Roman"/>
          <w:sz w:val="24"/>
          <w:szCs w:val="24"/>
        </w:rPr>
        <w:t>».</w:t>
      </w: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организации антимонопольного комплаенса в СПбГЭУ действует Комиссия по антимонопо</w:t>
      </w:r>
      <w:r>
        <w:rPr>
          <w:rFonts w:ascii="Times New Roman" w:hAnsi="Times New Roman" w:cs="Times New Roman"/>
          <w:sz w:val="24"/>
          <w:szCs w:val="24"/>
        </w:rPr>
        <w:t xml:space="preserve">льному комплаенсу, ответственная за функционирование системы внутреннего обеспечения соответствия требованиям антимонопольного законодательства в Университете. </w:t>
      </w: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7.2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Положения об организации системы внутреннего обеспечения соотве</w:t>
      </w:r>
      <w:r>
        <w:rPr>
          <w:rFonts w:ascii="Times New Roman" w:hAnsi="Times New Roman" w:cs="Times New Roman"/>
          <w:sz w:val="24"/>
          <w:szCs w:val="24"/>
        </w:rPr>
        <w:t>тствия требованиям антимонопольного законодательства в СПбГЭУ, утвержденного приказом ректора СПбГЭУ от 30.03.2021 г. № 169/1, доклад об антимонопольном комплаенсе содержит информацию:</w:t>
      </w: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>о результатах проведенной оценки рисков нарушений антимонопольного з</w:t>
      </w:r>
      <w:r>
        <w:rPr>
          <w:rFonts w:ascii="Times New Roman" w:hAnsi="Times New Roman" w:cs="Times New Roman"/>
          <w:sz w:val="24"/>
          <w:szCs w:val="24"/>
        </w:rPr>
        <w:t>аконодательства;</w:t>
      </w: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</w:t>
      </w:r>
      <w:r>
        <w:rPr>
          <w:rFonts w:ascii="Times New Roman" w:hAnsi="Times New Roman" w:cs="Times New Roman"/>
          <w:sz w:val="24"/>
          <w:szCs w:val="24"/>
        </w:rPr>
        <w:tab/>
        <w:t>об исполнении мероприятий по снижению рисков нарушений антимонопольного законодательства;</w:t>
      </w: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>о достижении ключевых показателей эффективности антимонопольного комплаенса.</w:t>
      </w:r>
    </w:p>
    <w:p w:rsidR="00B17055" w:rsidRDefault="00B170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Информация о результатах проведенной оценки рисков нарушений а</w:t>
      </w:r>
      <w:r>
        <w:rPr>
          <w:rFonts w:ascii="Times New Roman" w:hAnsi="Times New Roman" w:cs="Times New Roman"/>
          <w:b/>
          <w:sz w:val="24"/>
          <w:szCs w:val="24"/>
        </w:rPr>
        <w:t>нтимонопольного законодательства</w:t>
      </w: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оценки рисков нарушений антимонопольного законодательства выполнены следующие мероприятия:</w:t>
      </w:r>
    </w:p>
    <w:p w:rsidR="00B17055" w:rsidRDefault="003D5AA2">
      <w:pPr>
        <w:pStyle w:val="af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 сбор сведений о наличии нарушений антимонопольного законодательства в СПбГЭУ за 2025 год. (наличие предостережен</w:t>
      </w:r>
      <w:r>
        <w:rPr>
          <w:rFonts w:ascii="Times New Roman" w:hAnsi="Times New Roman" w:cs="Times New Roman"/>
          <w:sz w:val="24"/>
          <w:szCs w:val="24"/>
        </w:rPr>
        <w:t>ий, предупреждений, штрафов, жалоб, возбужденных дел). По результатам сбора и оценки представленных сведений с точки зрения их относимости к нарушениям антимонопольного законодательства отобраны материалы о нарушениях антимонопольного законодательства.</w:t>
      </w:r>
    </w:p>
    <w:p w:rsidR="00B17055" w:rsidRDefault="003D5AA2">
      <w:pPr>
        <w:pStyle w:val="af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анализирована информация о наиболее типичных и значимых нарушениях, установленных контрольными мероприятиями, проведенными Минобрнауки России в отношении подведомственных Минобрнауки России организаций в 2025 году.</w:t>
      </w:r>
    </w:p>
    <w:p w:rsidR="00B17055" w:rsidRDefault="003D5AA2">
      <w:pPr>
        <w:pStyle w:val="af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полученных материалов составлен перечень нарушений антимонопольного законодательства и актуализирована Карта (паспорт) комплаенс-рисков, содержащая краткое описание рисков, оценку причин (условий) возникновения рисков, их распределение по уровням</w:t>
      </w:r>
      <w:r>
        <w:rPr>
          <w:rFonts w:ascii="Times New Roman" w:hAnsi="Times New Roman" w:cs="Times New Roman"/>
          <w:sz w:val="24"/>
          <w:szCs w:val="24"/>
        </w:rPr>
        <w:t xml:space="preserve"> и вероятности возникновения. </w:t>
      </w:r>
    </w:p>
    <w:p w:rsidR="00B17055" w:rsidRDefault="00B170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Информация об исполнении мероприятий по снижению рисков нарушений антимонопольного законодательства</w:t>
      </w: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отчетного года реализован План мероприятий по снижению рисков нарушения антимонопольного законодательства в СП</w:t>
      </w:r>
      <w:r>
        <w:rPr>
          <w:rFonts w:ascii="Times New Roman" w:hAnsi="Times New Roman" w:cs="Times New Roman"/>
          <w:sz w:val="24"/>
          <w:szCs w:val="24"/>
        </w:rPr>
        <w:t>бГЭУ, утвержденный на 2025 год, включающий следующий комплекс мероприятий:</w:t>
      </w:r>
    </w:p>
    <w:p w:rsidR="00B17055" w:rsidRDefault="003D5AA2">
      <w:pPr>
        <w:pStyle w:val="af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 мониторинг изменений антимонопольного законодательства, мониторинг и анализ практики применения антимонопольного законодательства. Осуществлен текущий контроль закупочной </w:t>
      </w:r>
      <w:r>
        <w:rPr>
          <w:rFonts w:ascii="Times New Roman" w:hAnsi="Times New Roman" w:cs="Times New Roman"/>
          <w:sz w:val="24"/>
          <w:szCs w:val="24"/>
        </w:rPr>
        <w:t>деятельности подразделений СПбГЭУ. Усилены меры внутреннего контроля за исполнением законодательства в сфере закупок товаров, работ, услуг.</w:t>
      </w:r>
    </w:p>
    <w:p w:rsidR="00B17055" w:rsidRDefault="003D5AA2">
      <w:pPr>
        <w:pStyle w:val="af0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каких-либо изменений в правоприменительной практике, требующих корректировки проводимых мероприят</w:t>
      </w:r>
      <w:r>
        <w:rPr>
          <w:rFonts w:ascii="Times New Roman" w:hAnsi="Times New Roman" w:cs="Times New Roman"/>
          <w:sz w:val="24"/>
          <w:szCs w:val="24"/>
        </w:rPr>
        <w:t>ий, не прослеживалось.</w:t>
      </w:r>
    </w:p>
    <w:p w:rsidR="00B17055" w:rsidRDefault="003D5AA2">
      <w:pPr>
        <w:pStyle w:val="af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Проведен анализ договоров, предусматривающих переход прав пользования в отношении федерального имущества, принадлежащего СПбГЭУ на праве оперативного управления, на предмет соответствия антимонопольному законодательству.</w:t>
      </w:r>
    </w:p>
    <w:p w:rsidR="00B17055" w:rsidRDefault="003D5AA2">
      <w:pPr>
        <w:pStyle w:val="af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</w:t>
      </w:r>
      <w:r>
        <w:rPr>
          <w:rFonts w:ascii="Times New Roman" w:hAnsi="Times New Roman" w:cs="Times New Roman"/>
          <w:sz w:val="24"/>
          <w:szCs w:val="24"/>
        </w:rPr>
        <w:t xml:space="preserve">25 года были заключены договоры аренды объектов недвижимости под размещение столовых, вендинговых аппаратов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микромаркетов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продаже еды, предметы которых соответствуют требованиями ФЗ № 135 от 26.07.2006 г «О защите конкуренции». Под иные цели федеральн</w:t>
      </w:r>
      <w:r>
        <w:rPr>
          <w:rFonts w:ascii="Times New Roman" w:hAnsi="Times New Roman" w:cs="Times New Roman"/>
          <w:sz w:val="24"/>
          <w:szCs w:val="24"/>
        </w:rPr>
        <w:t>ое имущество, принадлежащее СПбГЭУ на праве оперативного управления, не передавалось.</w:t>
      </w:r>
    </w:p>
    <w:p w:rsidR="00B17055" w:rsidRDefault="003D5AA2">
      <w:pPr>
        <w:pStyle w:val="af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 анализ нормативных правовых актов и проектов нормативных правовых актов СПбГЭУ на предмет их соответствия требованиям антимонопольного законодательства.</w:t>
      </w:r>
    </w:p>
    <w:p w:rsidR="00B17055" w:rsidRDefault="003D5AA2">
      <w:pPr>
        <w:pStyle w:val="af0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</w:t>
      </w:r>
      <w:r>
        <w:rPr>
          <w:rFonts w:ascii="Times New Roman" w:hAnsi="Times New Roman" w:cs="Times New Roman"/>
          <w:sz w:val="24"/>
          <w:szCs w:val="24"/>
        </w:rPr>
        <w:t>огам проведенного анализа сделан вывод о соответствии нормативных правовых актов СПбГЭУ, проектов нормативных правовых актов СПбГЭУ требованиям антимонопольного законодательства и о нецелесообразности внесения в них изменений.</w:t>
      </w:r>
    </w:p>
    <w:p w:rsidR="00B17055" w:rsidRDefault="003D5AA2">
      <w:pPr>
        <w:pStyle w:val="af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в течение отчетного</w:t>
      </w:r>
      <w:r>
        <w:rPr>
          <w:rFonts w:ascii="Times New Roman" w:hAnsi="Times New Roman" w:cs="Times New Roman"/>
          <w:sz w:val="24"/>
          <w:szCs w:val="24"/>
        </w:rPr>
        <w:t xml:space="preserve"> года обучающие мероприятия по повышению профессиональной компетенции сотрудников по вопросам антимонопольного законодательства, в частности:</w:t>
      </w:r>
    </w:p>
    <w:p w:rsidR="00B17055" w:rsidRDefault="003D5AA2">
      <w:pPr>
        <w:pStyle w:val="af0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ответственных должностных лиц по программам, касающихся вопросов антимонопольного законодат</w:t>
      </w:r>
      <w:r>
        <w:rPr>
          <w:rFonts w:ascii="Times New Roman" w:hAnsi="Times New Roman" w:cs="Times New Roman"/>
          <w:sz w:val="24"/>
          <w:szCs w:val="24"/>
        </w:rPr>
        <w:t>ельства;</w:t>
      </w:r>
    </w:p>
    <w:p w:rsidR="00B17055" w:rsidRDefault="003D5AA2">
      <w:pPr>
        <w:pStyle w:val="af0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 Санкт</w:t>
      </w:r>
      <w:proofErr w:type="gramEnd"/>
      <w:r>
        <w:rPr>
          <w:rFonts w:ascii="Times New Roman" w:hAnsi="Times New Roman" w:cs="Times New Roman"/>
          <w:sz w:val="24"/>
          <w:szCs w:val="24"/>
        </w:rPr>
        <w:t>-Петербургском международном форуме контрактных отношений;</w:t>
      </w:r>
    </w:p>
    <w:p w:rsidR="00B17055" w:rsidRDefault="003D5AA2">
      <w:pPr>
        <w:pStyle w:val="af0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постоянное участие в обучающих всероссийских совещаниях Казначейства России, посвященных актуальным изменениям в нормативно-правовых актах в сфере закупок и развитию Г</w:t>
      </w:r>
      <w:r>
        <w:rPr>
          <w:rFonts w:ascii="Times New Roman" w:hAnsi="Times New Roman" w:cs="Times New Roman"/>
          <w:sz w:val="24"/>
          <w:szCs w:val="24"/>
        </w:rPr>
        <w:t>ИС ЕИС Федерального казначейства,</w:t>
      </w:r>
    </w:p>
    <w:p w:rsidR="00B17055" w:rsidRDefault="003D5AA2">
      <w:pPr>
        <w:pStyle w:val="af0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 вебинары с сотрудниками СПбГЭУ об изменениях законодательства в контрактной системе и актуальных вопросах в сфере антимонопольного законодательства.</w:t>
      </w:r>
    </w:p>
    <w:p w:rsidR="00B17055" w:rsidRDefault="003D5AA2">
      <w:pPr>
        <w:pStyle w:val="af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открытости и доступа к информации на </w:t>
      </w:r>
      <w:r>
        <w:rPr>
          <w:rFonts w:ascii="Times New Roman" w:hAnsi="Times New Roman" w:cs="Times New Roman"/>
          <w:sz w:val="24"/>
          <w:szCs w:val="24"/>
        </w:rPr>
        <w:t>официальном сайте Университета создан раздел «Антимонопольный комплаенс».</w:t>
      </w:r>
    </w:p>
    <w:p w:rsidR="00B17055" w:rsidRDefault="003D5AA2">
      <w:pPr>
        <w:pStyle w:val="af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 и утвержден План мероприятий («дорожная карта») на 2026 год по снижению рисков нарушения антимонопольного законодательства СПбГЭУ.</w:t>
      </w:r>
    </w:p>
    <w:p w:rsidR="00B17055" w:rsidRDefault="00B17055">
      <w:pPr>
        <w:pStyle w:val="af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Информация о достижении ключевых п</w:t>
      </w:r>
      <w:r>
        <w:rPr>
          <w:rFonts w:ascii="Times New Roman" w:hAnsi="Times New Roman" w:cs="Times New Roman"/>
          <w:b/>
          <w:sz w:val="24"/>
          <w:szCs w:val="24"/>
        </w:rPr>
        <w:t>оказателей эффективности антимонопольного комплаенса</w:t>
      </w: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Положением об организации системы внутреннего обеспечения соответствия требованиям антимонопольного законодательства в ФГБОУ ВО СПбГЭУ, утвержденным </w:t>
      </w:r>
      <w:r>
        <w:rPr>
          <w:rFonts w:ascii="Times New Roman" w:hAnsi="Times New Roman" w:cs="Times New Roman"/>
          <w:sz w:val="24"/>
          <w:szCs w:val="24"/>
        </w:rPr>
        <w:lastRenderedPageBreak/>
        <w:t>приказом от 30.03.2021 г № 169/1, определены следующие</w:t>
      </w:r>
      <w:r>
        <w:rPr>
          <w:rFonts w:ascii="Times New Roman" w:hAnsi="Times New Roman" w:cs="Times New Roman"/>
          <w:sz w:val="24"/>
          <w:szCs w:val="24"/>
        </w:rPr>
        <w:t xml:space="preserve"> ключевые показатели, используемые для оценки эффективности функционирования антимонопольного комплаенса:</w:t>
      </w:r>
    </w:p>
    <w:p w:rsidR="00B17055" w:rsidRDefault="003D5AA2">
      <w:pPr>
        <w:pStyle w:val="af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снижения количества нарушений антимонопольного законодательства со стороны СПбГЭУ (по сравнению с 2024 годом);</w:t>
      </w:r>
    </w:p>
    <w:p w:rsidR="00B17055" w:rsidRDefault="003D5AA2">
      <w:pPr>
        <w:pStyle w:val="af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проектов локальных нор</w:t>
      </w:r>
      <w:r>
        <w:rPr>
          <w:rFonts w:ascii="Times New Roman" w:hAnsi="Times New Roman" w:cs="Times New Roman"/>
          <w:sz w:val="24"/>
          <w:szCs w:val="24"/>
        </w:rPr>
        <w:t>мативных правовых актов СПбГЭУ, в которых выявлены риски нарушения антимонопольного законодательства;</w:t>
      </w:r>
    </w:p>
    <w:p w:rsidR="00B17055" w:rsidRDefault="003D5AA2">
      <w:pPr>
        <w:pStyle w:val="af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локальных нормативных правовых актов СПбГЭУ, в которых выявлены риски нарушения антимонопольного законодательства.</w:t>
      </w:r>
    </w:p>
    <w:p w:rsidR="00B17055" w:rsidRDefault="003D5AA2">
      <w:pPr>
        <w:pStyle w:val="af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сотрудников СПбГЭУ, с которым</w:t>
      </w:r>
      <w:r>
        <w:rPr>
          <w:rFonts w:ascii="Times New Roman" w:hAnsi="Times New Roman" w:cs="Times New Roman"/>
          <w:sz w:val="24"/>
          <w:szCs w:val="24"/>
        </w:rPr>
        <w:t>и были проведены обучающие мероприятия по антимонопольному законодательству и антимонопольному комплаенсу.</w:t>
      </w: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95817000"/>
      <w:r>
        <w:rPr>
          <w:rFonts w:ascii="Times New Roman" w:hAnsi="Times New Roman" w:cs="Times New Roman"/>
          <w:sz w:val="24"/>
          <w:szCs w:val="24"/>
        </w:rPr>
        <w:t>Проведенный расчет показателей позволяет сделать вывод в целом о достижении в СПбГЭУ ключевых показателей эффективности функционирования антимонополь</w:t>
      </w:r>
      <w:r>
        <w:rPr>
          <w:rFonts w:ascii="Times New Roman" w:hAnsi="Times New Roman" w:cs="Times New Roman"/>
          <w:sz w:val="24"/>
          <w:szCs w:val="24"/>
        </w:rPr>
        <w:t>ного комплаенса.</w:t>
      </w:r>
      <w:bookmarkEnd w:id="1"/>
    </w:p>
    <w:p w:rsidR="00B17055" w:rsidRDefault="00B170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по антимонопольному комплаенсу, ответственной за функционирование антимонопольного комплаенса в СПбГЭУ, при проведении мониторинга и анализа применения антимонопольного законодательства в 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 СПбГЭУ в 2025 году нарушений не выявлено. </w:t>
      </w: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Ситуаций конфликта интересов в деятельности Университета в 2025 году в сфере функционирования антимонопольного комплаенса не выявлено.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Следует также отметить отсутствие за анализируемый период фактов привлечения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лиц СПбГЭУ к административной ответственности за нарушение антимонопольного законодательства. </w:t>
      </w: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Изучив все необходимые материалы и получив достаточное количество необходимой информации для проведения анализа, можно сделать вывод о том, что сферами деятельности СПбГЭУ, наиболее подверженным рискам нарушениям антимонопольного законодательства, по-прежн</w:t>
      </w:r>
      <w:r>
        <w:rPr>
          <w:rFonts w:ascii="Times New Roman" w:hAnsi="Times New Roman" w:cs="Times New Roman"/>
          <w:sz w:val="24"/>
          <w:szCs w:val="24"/>
        </w:rPr>
        <w:t>ему является сфера закупок</w:t>
      </w:r>
      <w:r w:rsidRPr="003D5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сфера распоряжения имуществом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7055" w:rsidRDefault="003D5A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обеспечению эффективного функционирования антимонопольного комплаенса в СПбГЭУ продолжается.</w:t>
      </w:r>
    </w:p>
    <w:p w:rsidR="00B17055" w:rsidRDefault="00B170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7055" w:rsidRDefault="00B170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7055" w:rsidRDefault="003D5A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И. 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bookmarkStart w:id="2" w:name="_GoBack"/>
      <w:bookmarkEnd w:id="2"/>
      <w:proofErr w:type="spellStart"/>
      <w:r>
        <w:rPr>
          <w:rFonts w:ascii="Times New Roman" w:hAnsi="Times New Roman" w:cs="Times New Roman"/>
          <w:sz w:val="24"/>
          <w:szCs w:val="24"/>
        </w:rPr>
        <w:t>Максимцев</w:t>
      </w:r>
      <w:proofErr w:type="spellEnd"/>
    </w:p>
    <w:sectPr w:rsidR="00B17055">
      <w:pgSz w:w="11906" w:h="16838"/>
      <w:pgMar w:top="1028" w:right="851" w:bottom="72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C3F47"/>
    <w:multiLevelType w:val="multilevel"/>
    <w:tmpl w:val="97DEA8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E35CF5"/>
    <w:multiLevelType w:val="multilevel"/>
    <w:tmpl w:val="B958F5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</w:lvl>
  </w:abstractNum>
  <w:abstractNum w:abstractNumId="2" w15:restartNumberingAfterBreak="0">
    <w:nsid w:val="5849264E"/>
    <w:multiLevelType w:val="multilevel"/>
    <w:tmpl w:val="77C4F77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CF27AC"/>
    <w:multiLevelType w:val="multilevel"/>
    <w:tmpl w:val="4A4839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575" w:hanging="49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9E10C6D"/>
    <w:multiLevelType w:val="multilevel"/>
    <w:tmpl w:val="C75246B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55"/>
    <w:rsid w:val="003D5AA2"/>
    <w:rsid w:val="00B1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B854"/>
  <w15:docId w15:val="{B3D0D246-9D8D-44AA-BCE3-A4700FD6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D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A3DA0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qFormat/>
    <w:rsid w:val="00741DCB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741DCB"/>
    <w:rPr>
      <w:sz w:val="20"/>
      <w:szCs w:val="20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741DCB"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741DCB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List Paragraph"/>
    <w:basedOn w:val="a"/>
    <w:uiPriority w:val="34"/>
    <w:qFormat/>
    <w:rsid w:val="00AD2EB2"/>
    <w:pPr>
      <w:ind w:left="720"/>
      <w:contextualSpacing/>
    </w:pPr>
  </w:style>
  <w:style w:type="paragraph" w:styleId="a6">
    <w:name w:val="annotation text"/>
    <w:basedOn w:val="a"/>
    <w:link w:val="a5"/>
    <w:uiPriority w:val="99"/>
    <w:semiHidden/>
    <w:unhideWhenUsed/>
    <w:qFormat/>
    <w:rsid w:val="00741DCB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741DCB"/>
    <w:rPr>
      <w:b/>
      <w:bCs/>
    </w:rPr>
  </w:style>
  <w:style w:type="paragraph" w:styleId="aa">
    <w:name w:val="Balloon Text"/>
    <w:basedOn w:val="a"/>
    <w:link w:val="a9"/>
    <w:uiPriority w:val="99"/>
    <w:semiHidden/>
    <w:unhideWhenUsed/>
    <w:qFormat/>
    <w:rsid w:val="00741DC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DF1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1220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Скоморохова</dc:creator>
  <dc:description/>
  <cp:lastModifiedBy>Максим Александрович Легашов</cp:lastModifiedBy>
  <cp:revision>8</cp:revision>
  <dcterms:created xsi:type="dcterms:W3CDTF">2025-02-18T11:03:00Z</dcterms:created>
  <dcterms:modified xsi:type="dcterms:W3CDTF">2026-03-17T09:10:00Z</dcterms:modified>
  <dc:language>ru-RU</dc:language>
</cp:coreProperties>
</file>